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January 12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0D7E73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2755DF" w:rsidRPr="002755DF" w:rsidRDefault="002755DF" w:rsidP="00073614">
      <w:pPr>
        <w:spacing w:line="240" w:lineRule="auto"/>
        <w:ind w:left="720" w:hanging="1440"/>
        <w:jc w:val="center"/>
        <w:rPr>
          <w:rFonts w:ascii="Cambria" w:eastAsia="Cambria" w:hAnsi="Cambria" w:cs="Times New Roman"/>
          <w:strike/>
          <w:color w:val="000000"/>
        </w:rPr>
      </w:pP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  <w:t>Check In—Share one to three words to how you are feeling.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3B011E" w:rsidRDefault="001B433B" w:rsidP="001B433B">
      <w:pPr>
        <w:pStyle w:val="Default"/>
        <w:ind w:left="990" w:hanging="990"/>
        <w:rPr>
          <w:sz w:val="26"/>
          <w:szCs w:val="26"/>
        </w:rPr>
      </w:pPr>
      <w:r w:rsidRPr="003B011E">
        <w:rPr>
          <w:sz w:val="26"/>
          <w:szCs w:val="26"/>
        </w:rPr>
        <w:t>GUEST PRESENTERS</w:t>
      </w:r>
      <w:r w:rsidR="00F74BF9">
        <w:rPr>
          <w:sz w:val="26"/>
          <w:szCs w:val="26"/>
        </w:rPr>
        <w:t>:</w:t>
      </w:r>
    </w:p>
    <w:p w:rsidR="001B433B" w:rsidRPr="00A1316F" w:rsidRDefault="00603000" w:rsidP="00967547">
      <w:pPr>
        <w:pStyle w:val="Default"/>
        <w:ind w:left="990" w:hanging="990"/>
        <w:rPr>
          <w:rFonts w:ascii="Cambria" w:hAnsi="Cambria" w:cs="Cambria"/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>Seeking to schedule a guest at the time the agenda was finalized</w:t>
      </w:r>
    </w:p>
    <w:p w:rsidR="00073614" w:rsidRDefault="00073614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6A1D02" w:rsidP="00B7736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 xml:space="preserve">4:10 </w:t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</w:p>
    <w:p w:rsidR="00B77367" w:rsidRDefault="00B77367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the Chair—Todd Holloway</w:t>
      </w:r>
    </w:p>
    <w:p w:rsidR="00603000" w:rsidRDefault="00603000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603000" w:rsidP="00603000">
      <w:pPr>
        <w:pStyle w:val="Default"/>
        <w:numPr>
          <w:ilvl w:val="0"/>
          <w:numId w:val="2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Pierce County ADA Audit</w:t>
      </w:r>
    </w:p>
    <w:p w:rsidR="00603000" w:rsidRDefault="00603000" w:rsidP="00603000">
      <w:pPr>
        <w:pStyle w:val="Default"/>
        <w:numPr>
          <w:ilvl w:val="0"/>
          <w:numId w:val="2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Reports</w:t>
      </w:r>
    </w:p>
    <w:p w:rsidR="00217003" w:rsidRDefault="00217003" w:rsidP="00A1316F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6A1D0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603000" w:rsidP="006639A8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Response to Retreat and</w:t>
      </w:r>
      <w:r w:rsidR="006639A8">
        <w:rPr>
          <w:rFonts w:ascii="Cambria" w:hAnsi="Cambria" w:cs="Cambria"/>
          <w:sz w:val="28"/>
          <w:szCs w:val="28"/>
        </w:rPr>
        <w:t xml:space="preserve"> December Commission Discussion</w:t>
      </w:r>
    </w:p>
    <w:p w:rsidR="00603000" w:rsidRPr="007823D8" w:rsidRDefault="00522E6E" w:rsidP="00603000">
      <w:pPr>
        <w:pStyle w:val="Defaul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Transportation</w:t>
      </w:r>
    </w:p>
    <w:p w:rsidR="00603000" w:rsidRDefault="00603000" w:rsidP="0060300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Staff is seeking to host a presentation by Dan </w:t>
      </w:r>
      <w:proofErr w:type="spellStart"/>
      <w:r>
        <w:rPr>
          <w:rFonts w:ascii="Cambria" w:hAnsi="Cambria" w:cs="Cambria"/>
          <w:sz w:val="28"/>
          <w:szCs w:val="28"/>
        </w:rPr>
        <w:t>Eberle</w:t>
      </w:r>
      <w:proofErr w:type="spellEnd"/>
      <w:r>
        <w:rPr>
          <w:rFonts w:ascii="Cambria" w:hAnsi="Cambria" w:cs="Cambria"/>
          <w:sz w:val="28"/>
          <w:szCs w:val="28"/>
        </w:rPr>
        <w:t xml:space="preserve"> and/or others working in accessible taxi along with representative King County Accessible Taxi Rep.</w:t>
      </w:r>
    </w:p>
    <w:p w:rsidR="00603000" w:rsidRDefault="00603000" w:rsidP="00603000">
      <w:pPr>
        <w:pStyle w:val="Default"/>
        <w:rPr>
          <w:rFonts w:ascii="Cambria" w:hAnsi="Cambria" w:cs="Cambria"/>
          <w:sz w:val="28"/>
          <w:szCs w:val="28"/>
        </w:rPr>
      </w:pPr>
    </w:p>
    <w:p w:rsidR="00603000" w:rsidRPr="007823D8" w:rsidRDefault="00603000" w:rsidP="00603000">
      <w:pPr>
        <w:pStyle w:val="Default"/>
        <w:rPr>
          <w:rFonts w:ascii="Cambria" w:hAnsi="Cambria" w:cs="Cambria"/>
          <w:b/>
          <w:sz w:val="28"/>
          <w:szCs w:val="28"/>
        </w:rPr>
      </w:pPr>
      <w:r w:rsidRPr="007823D8">
        <w:rPr>
          <w:rFonts w:ascii="Cambria" w:hAnsi="Cambria" w:cs="Cambria"/>
          <w:b/>
          <w:sz w:val="28"/>
          <w:szCs w:val="28"/>
        </w:rPr>
        <w:t>Closed Captioning</w:t>
      </w:r>
    </w:p>
    <w:p w:rsidR="00603000" w:rsidRDefault="00603000" w:rsidP="0060300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Director Diane Powers will initiate conversation with Tacoma Convention Bureau to enlist input and support for the resolution</w:t>
      </w:r>
      <w:r w:rsidR="007823D8">
        <w:rPr>
          <w:rFonts w:ascii="Cambria" w:hAnsi="Cambria" w:cs="Cambria"/>
          <w:sz w:val="28"/>
          <w:szCs w:val="28"/>
        </w:rPr>
        <w:t>.  Work with Commission to present to the CVS (which includes many new members of City Council)</w:t>
      </w:r>
    </w:p>
    <w:p w:rsidR="007823D8" w:rsidRDefault="007823D8" w:rsidP="00603000">
      <w:pPr>
        <w:pStyle w:val="Default"/>
        <w:rPr>
          <w:rFonts w:ascii="Cambria" w:hAnsi="Cambria" w:cs="Cambria"/>
          <w:sz w:val="28"/>
          <w:szCs w:val="28"/>
        </w:rPr>
      </w:pPr>
    </w:p>
    <w:p w:rsidR="007823D8" w:rsidRPr="007823D8" w:rsidRDefault="007823D8" w:rsidP="00603000">
      <w:pPr>
        <w:pStyle w:val="Default"/>
        <w:rPr>
          <w:rFonts w:ascii="Cambria" w:hAnsi="Cambria" w:cs="Cambria"/>
          <w:b/>
          <w:sz w:val="28"/>
          <w:szCs w:val="28"/>
        </w:rPr>
      </w:pPr>
      <w:r w:rsidRPr="007823D8">
        <w:rPr>
          <w:rFonts w:ascii="Cambria" w:hAnsi="Cambria" w:cs="Cambria"/>
          <w:b/>
          <w:sz w:val="28"/>
          <w:szCs w:val="28"/>
        </w:rPr>
        <w:t>Communication</w:t>
      </w:r>
    </w:p>
    <w:p w:rsidR="007823D8" w:rsidRDefault="007823D8" w:rsidP="0060300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Report on meeting with IT </w:t>
      </w:r>
      <w:proofErr w:type="spellStart"/>
      <w:r>
        <w:rPr>
          <w:rFonts w:ascii="Cambria" w:hAnsi="Cambria" w:cs="Cambria"/>
          <w:sz w:val="28"/>
          <w:szCs w:val="28"/>
        </w:rPr>
        <w:t>Dept</w:t>
      </w:r>
      <w:proofErr w:type="spellEnd"/>
      <w:r>
        <w:rPr>
          <w:rFonts w:ascii="Cambria" w:hAnsi="Cambria" w:cs="Cambria"/>
          <w:sz w:val="28"/>
          <w:szCs w:val="28"/>
        </w:rPr>
        <w:t xml:space="preserve"> to discuss a potential communication platform for Commissioners.</w:t>
      </w:r>
    </w:p>
    <w:p w:rsidR="007823D8" w:rsidRDefault="007823D8" w:rsidP="00603000">
      <w:pPr>
        <w:pStyle w:val="Default"/>
        <w:rPr>
          <w:rFonts w:ascii="Cambria" w:hAnsi="Cambria" w:cs="Cambria"/>
          <w:sz w:val="28"/>
          <w:szCs w:val="28"/>
        </w:rPr>
      </w:pPr>
    </w:p>
    <w:p w:rsidR="00522E6E" w:rsidRDefault="00522E6E" w:rsidP="0060300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OEHR is reviewing the brochure and will ask for </w:t>
      </w:r>
      <w:r w:rsidR="006639A8">
        <w:rPr>
          <w:rFonts w:ascii="Cambria" w:hAnsi="Cambria" w:cs="Cambria"/>
          <w:sz w:val="28"/>
          <w:szCs w:val="28"/>
        </w:rPr>
        <w:t xml:space="preserve">commissioner </w:t>
      </w:r>
      <w:r>
        <w:rPr>
          <w:rFonts w:ascii="Cambria" w:hAnsi="Cambria" w:cs="Cambria"/>
          <w:sz w:val="28"/>
          <w:szCs w:val="28"/>
        </w:rPr>
        <w:t>input as we develop the next version.</w:t>
      </w:r>
    </w:p>
    <w:p w:rsidR="00522E6E" w:rsidRDefault="00522E6E" w:rsidP="00603000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522E6E" w:rsidRDefault="007823D8" w:rsidP="00603000">
      <w:pPr>
        <w:pStyle w:val="Default"/>
        <w:rPr>
          <w:rFonts w:ascii="Cambria" w:hAnsi="Cambria" w:cs="Cambria"/>
          <w:b/>
          <w:sz w:val="28"/>
          <w:szCs w:val="28"/>
        </w:rPr>
      </w:pPr>
      <w:r w:rsidRPr="007823D8">
        <w:rPr>
          <w:rFonts w:ascii="Cambria" w:hAnsi="Cambria" w:cs="Cambria"/>
          <w:b/>
          <w:sz w:val="28"/>
          <w:szCs w:val="28"/>
        </w:rPr>
        <w:t>ADA Transition</w:t>
      </w:r>
      <w:r w:rsidR="00522E6E">
        <w:rPr>
          <w:rFonts w:ascii="Cambria" w:hAnsi="Cambria" w:cs="Cambria"/>
          <w:b/>
          <w:sz w:val="28"/>
          <w:szCs w:val="28"/>
        </w:rPr>
        <w:t xml:space="preserve"> Plan</w:t>
      </w:r>
    </w:p>
    <w:p w:rsidR="00522E6E" w:rsidRPr="00522E6E" w:rsidRDefault="00522E6E" w:rsidP="0060300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OEHR is reviewing </w:t>
      </w:r>
      <w:r w:rsidR="003A36E4">
        <w:rPr>
          <w:rFonts w:ascii="Cambria" w:hAnsi="Cambria" w:cs="Cambria"/>
          <w:sz w:val="28"/>
          <w:szCs w:val="28"/>
        </w:rPr>
        <w:t>the</w:t>
      </w:r>
      <w:r>
        <w:rPr>
          <w:rFonts w:ascii="Cambria" w:hAnsi="Cambria" w:cs="Cambria"/>
          <w:sz w:val="28"/>
          <w:szCs w:val="28"/>
        </w:rPr>
        <w:t xml:space="preserve"> January 2017 ADA Transition Plan Summary and will facilitate discussion around building timelines and measureables into the planning.</w:t>
      </w:r>
    </w:p>
    <w:p w:rsidR="00522E6E" w:rsidRDefault="00522E6E" w:rsidP="00603000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6639A8" w:rsidRDefault="006639A8" w:rsidP="00603000">
      <w:pPr>
        <w:pStyle w:val="Defaul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Employment</w:t>
      </w:r>
    </w:p>
    <w:p w:rsidR="006639A8" w:rsidRPr="006639A8" w:rsidRDefault="006639A8" w:rsidP="0060300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Exploring paid internship program for folks with disabilities. </w:t>
      </w:r>
      <w:proofErr w:type="gramStart"/>
      <w:r>
        <w:rPr>
          <w:rFonts w:ascii="Cambria" w:hAnsi="Cambria" w:cs="Cambria"/>
          <w:sz w:val="28"/>
          <w:szCs w:val="28"/>
        </w:rPr>
        <w:t>More soon.</w:t>
      </w:r>
      <w:proofErr w:type="gramEnd"/>
    </w:p>
    <w:p w:rsidR="00E43ACA" w:rsidRDefault="00E43ACA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6639A8" w:rsidRDefault="006639A8" w:rsidP="006639A8">
      <w:pPr>
        <w:pStyle w:val="Defaul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Joint Commissions Meeting</w:t>
      </w:r>
    </w:p>
    <w:p w:rsidR="006639A8" w:rsidRDefault="006639A8" w:rsidP="006639A8">
      <w:pPr>
        <w:pStyle w:val="Default"/>
        <w:rPr>
          <w:rFonts w:ascii="Cambria" w:hAnsi="Cambria" w:cs="Cambria"/>
          <w:b/>
          <w:sz w:val="28"/>
          <w:szCs w:val="28"/>
        </w:rPr>
      </w:pPr>
      <w:r w:rsidRPr="006639A8">
        <w:rPr>
          <w:rFonts w:ascii="Cambria" w:hAnsi="Cambria" w:cs="Cambria"/>
          <w:sz w:val="28"/>
          <w:szCs w:val="28"/>
        </w:rPr>
        <w:t>This would include Equity 101 workshop and joint sharing and planning between several commissions.</w:t>
      </w:r>
    </w:p>
    <w:p w:rsidR="006639A8" w:rsidRDefault="006639A8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6639A8" w:rsidRDefault="006639A8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E43ACA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4:50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43ACA" w:rsidRDefault="00E43ACA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</w:p>
    <w:p w:rsidR="00E43ACA" w:rsidRPr="000D7E73" w:rsidRDefault="006639A8" w:rsidP="006639A8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5:00</w:t>
      </w:r>
      <w:r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6639A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Agenda Building 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6639A8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6639A8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A1316F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A1316F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Devin Myers, </w:t>
    </w:r>
    <w:r w:rsidR="000D7E73">
      <w:rPr>
        <w:rFonts w:ascii="Tahoma" w:hAnsi="Tahoma" w:cs="Tahoma"/>
        <w:color w:val="auto"/>
        <w:sz w:val="16"/>
        <w:szCs w:val="16"/>
      </w:rPr>
      <w:t xml:space="preserve">Rebecca Parson, Shaw Sander, </w:t>
    </w:r>
    <w:r w:rsidRPr="00AE6E0B">
      <w:rPr>
        <w:rFonts w:ascii="Tahoma" w:hAnsi="Tahoma" w:cs="Tahoma"/>
        <w:color w:val="auto"/>
        <w:sz w:val="16"/>
        <w:szCs w:val="16"/>
      </w:rPr>
      <w:t>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22"/>
  </w:num>
  <w:num w:numId="6">
    <w:abstractNumId w:val="20"/>
  </w:num>
  <w:num w:numId="7">
    <w:abstractNumId w:val="4"/>
  </w:num>
  <w:num w:numId="8">
    <w:abstractNumId w:val="0"/>
  </w:num>
  <w:num w:numId="9">
    <w:abstractNumId w:val="7"/>
  </w:num>
  <w:num w:numId="10">
    <w:abstractNumId w:val="17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18"/>
  </w:num>
  <w:num w:numId="17">
    <w:abstractNumId w:val="2"/>
  </w:num>
  <w:num w:numId="18">
    <w:abstractNumId w:val="16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06C29"/>
    <w:rsid w:val="000565D1"/>
    <w:rsid w:val="00056EA7"/>
    <w:rsid w:val="00073614"/>
    <w:rsid w:val="000D7E73"/>
    <w:rsid w:val="00135906"/>
    <w:rsid w:val="00140790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A36E4"/>
    <w:rsid w:val="003B011E"/>
    <w:rsid w:val="003D15D8"/>
    <w:rsid w:val="003E447F"/>
    <w:rsid w:val="003F2B72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3000"/>
    <w:rsid w:val="006639A8"/>
    <w:rsid w:val="006853C4"/>
    <w:rsid w:val="0069484D"/>
    <w:rsid w:val="00694AB4"/>
    <w:rsid w:val="006A1D02"/>
    <w:rsid w:val="007042FE"/>
    <w:rsid w:val="0072571A"/>
    <w:rsid w:val="00745C77"/>
    <w:rsid w:val="007549AF"/>
    <w:rsid w:val="007823D8"/>
    <w:rsid w:val="00784154"/>
    <w:rsid w:val="007B4347"/>
    <w:rsid w:val="008175C3"/>
    <w:rsid w:val="0082486C"/>
    <w:rsid w:val="00847C6A"/>
    <w:rsid w:val="00933402"/>
    <w:rsid w:val="009461AF"/>
    <w:rsid w:val="00967547"/>
    <w:rsid w:val="009F4306"/>
    <w:rsid w:val="00A1316F"/>
    <w:rsid w:val="00A56A6C"/>
    <w:rsid w:val="00A63A07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56CA"/>
    <w:rsid w:val="00C271E1"/>
    <w:rsid w:val="00C52B9E"/>
    <w:rsid w:val="00CA1311"/>
    <w:rsid w:val="00CD47A8"/>
    <w:rsid w:val="00CE4AC3"/>
    <w:rsid w:val="00D4082F"/>
    <w:rsid w:val="00D96FA3"/>
    <w:rsid w:val="00E1062B"/>
    <w:rsid w:val="00E43ACA"/>
    <w:rsid w:val="00E5050C"/>
    <w:rsid w:val="00E57A59"/>
    <w:rsid w:val="00E64632"/>
    <w:rsid w:val="00E70B88"/>
    <w:rsid w:val="00EB1B4E"/>
    <w:rsid w:val="00EC1BC1"/>
    <w:rsid w:val="00EF4BF8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1944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2019-01-07T23:25:00Z</dcterms:created>
  <dcterms:modified xsi:type="dcterms:W3CDTF">2019-01-07T23:25:00Z</dcterms:modified>
</cp:coreProperties>
</file>